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7C" w:rsidRPr="008C6D2F" w:rsidRDefault="008C6D2F" w:rsidP="008C6D2F">
      <w:pPr>
        <w:pStyle w:val="Title"/>
        <w:shd w:val="clear" w:color="auto" w:fill="FFFFFF" w:themeFill="background1"/>
        <w:jc w:val="center"/>
        <w:rPr>
          <w:color w:val="000000" w:themeColor="text1"/>
          <w:sz w:val="96"/>
          <w:szCs w:val="56"/>
          <w:u w:val="single"/>
        </w:rPr>
      </w:pPr>
      <w:bookmarkStart w:id="0" w:name="_GoBack"/>
      <w:r w:rsidRPr="008C6D2F">
        <w:rPr>
          <w:color w:val="000000" w:themeColor="text1"/>
          <w:sz w:val="96"/>
          <w:szCs w:val="56"/>
          <w:u w:val="single"/>
        </w:rPr>
        <w:t xml:space="preserve">Key features </w:t>
      </w:r>
      <w:r w:rsidR="0003707C" w:rsidRPr="008C6D2F">
        <w:rPr>
          <w:color w:val="000000" w:themeColor="text1"/>
          <w:sz w:val="96"/>
          <w:szCs w:val="56"/>
          <w:u w:val="single"/>
        </w:rPr>
        <w:t>of Union Budget 2015-16</w:t>
      </w:r>
    </w:p>
    <w:bookmarkEnd w:id="0"/>
    <w:p w:rsidR="00945687" w:rsidRPr="007C5465" w:rsidRDefault="00945687" w:rsidP="00945687">
      <w:pPr>
        <w:rPr>
          <w:b/>
          <w:bCs/>
        </w:rPr>
      </w:pPr>
      <w:r w:rsidRPr="007C5465">
        <w:rPr>
          <w:b/>
          <w:bCs/>
        </w:rPr>
        <w:t>Inflation</w:t>
      </w:r>
    </w:p>
    <w:p w:rsidR="00945687" w:rsidRPr="00945687" w:rsidRDefault="00945687" w:rsidP="00945687">
      <w:pPr>
        <w:pStyle w:val="ListParagraph"/>
        <w:numPr>
          <w:ilvl w:val="0"/>
          <w:numId w:val="1"/>
        </w:numPr>
      </w:pPr>
      <w:r w:rsidRPr="00945687">
        <w:t>Inflation declined - a structural shift</w:t>
      </w:r>
    </w:p>
    <w:p w:rsidR="00945687" w:rsidRDefault="00945687" w:rsidP="00945687">
      <w:pPr>
        <w:pStyle w:val="ListParagraph"/>
        <w:numPr>
          <w:ilvl w:val="0"/>
          <w:numId w:val="1"/>
        </w:numPr>
      </w:pPr>
      <w:r w:rsidRPr="00945687">
        <w:t>CPI inflation projected at 5% by the end of the year, consequently, easing of monetary</w:t>
      </w:r>
      <w:r>
        <w:t xml:space="preserve"> </w:t>
      </w:r>
      <w:r w:rsidRPr="00945687">
        <w:t>policy</w:t>
      </w:r>
    </w:p>
    <w:p w:rsidR="00945687" w:rsidRDefault="00945687" w:rsidP="00945687">
      <w:pPr>
        <w:pStyle w:val="ListParagraph"/>
        <w:numPr>
          <w:ilvl w:val="0"/>
          <w:numId w:val="1"/>
        </w:numPr>
      </w:pPr>
      <w:r>
        <w:t>Monetary Policy Framework Agreement with RBI, to keep inflation below 6%.</w:t>
      </w:r>
    </w:p>
    <w:p w:rsidR="00945687" w:rsidRDefault="00945687" w:rsidP="00945687">
      <w:pPr>
        <w:pStyle w:val="ListParagraph"/>
        <w:numPr>
          <w:ilvl w:val="0"/>
          <w:numId w:val="1"/>
        </w:numPr>
      </w:pPr>
      <w:r>
        <w:t>GDP growth in 2015-16, projected to be between 8 to 8.5%.</w:t>
      </w:r>
      <w:r>
        <w:t xml:space="preserve"> </w:t>
      </w:r>
      <w:r>
        <w:t>Amrut Mahotsav - The year</w:t>
      </w:r>
      <w:r>
        <w:t xml:space="preserve"> </w:t>
      </w:r>
      <w:r>
        <w:t>2022, 75th year of Independence</w:t>
      </w:r>
      <w:r>
        <w:t xml:space="preserve"> </w:t>
      </w:r>
      <w:r>
        <w:t>Vision for “Team India” led by PM</w:t>
      </w:r>
    </w:p>
    <w:p w:rsidR="00945687" w:rsidRDefault="00945687" w:rsidP="00945687">
      <w:pPr>
        <w:pStyle w:val="ListParagraph"/>
        <w:numPr>
          <w:ilvl w:val="0"/>
          <w:numId w:val="1"/>
        </w:numPr>
      </w:pPr>
      <w:r>
        <w:t>Housing for all - 2 crore houses in Urban areas and 4 crore houses in Rural areas.</w:t>
      </w:r>
    </w:p>
    <w:p w:rsidR="004F6CA8" w:rsidRDefault="00945687" w:rsidP="00945687">
      <w:pPr>
        <w:pStyle w:val="ListParagraph"/>
        <w:numPr>
          <w:ilvl w:val="0"/>
          <w:numId w:val="1"/>
        </w:numPr>
      </w:pPr>
      <w:r>
        <w:t>Basic facility of 24x7 power, clean drinking water, a toilet and road connectivity.</w:t>
      </w:r>
    </w:p>
    <w:p w:rsidR="00945687" w:rsidRDefault="00945687" w:rsidP="00945687">
      <w:pPr>
        <w:pStyle w:val="ListParagraph"/>
        <w:numPr>
          <w:ilvl w:val="0"/>
          <w:numId w:val="1"/>
        </w:numPr>
      </w:pPr>
      <w:r w:rsidRPr="00945687">
        <w:t>Electrification of the remaining 20,000 villages including off-grid Solar Power- by 2020.</w:t>
      </w:r>
    </w:p>
    <w:p w:rsidR="00945687" w:rsidRPr="007C5465" w:rsidRDefault="00945687" w:rsidP="00945687">
      <w:pPr>
        <w:rPr>
          <w:b/>
          <w:bCs/>
        </w:rPr>
      </w:pPr>
      <w:r w:rsidRPr="007C5465">
        <w:rPr>
          <w:b/>
          <w:bCs/>
        </w:rPr>
        <w:t>Major Challenges Ahead</w:t>
      </w:r>
    </w:p>
    <w:p w:rsidR="00945687" w:rsidRDefault="00945687" w:rsidP="00945687">
      <w:pPr>
        <w:pStyle w:val="ListParagraph"/>
        <w:numPr>
          <w:ilvl w:val="0"/>
          <w:numId w:val="2"/>
        </w:numPr>
      </w:pPr>
      <w:r>
        <w:t>Five major challenges: Agricultural income under stress, increasing investment in</w:t>
      </w:r>
      <w:r>
        <w:t xml:space="preserve"> </w:t>
      </w:r>
      <w:r>
        <w:t>infrastructure, decline in manufacturing, resource crunch in view of higher devolution in</w:t>
      </w:r>
      <w:r>
        <w:t xml:space="preserve"> </w:t>
      </w:r>
      <w:r>
        <w:t>taxes to states, maintaining fiscal discipline.</w:t>
      </w:r>
    </w:p>
    <w:p w:rsidR="00945687" w:rsidRDefault="00945687" w:rsidP="00945687">
      <w:pPr>
        <w:pStyle w:val="ListParagraph"/>
        <w:numPr>
          <w:ilvl w:val="0"/>
          <w:numId w:val="2"/>
        </w:numPr>
      </w:pPr>
      <w:r>
        <w:t>To meet these challenges public sector needs to step in to catalyse investment, make in</w:t>
      </w:r>
      <w:r>
        <w:t xml:space="preserve"> </w:t>
      </w:r>
      <w:r>
        <w:t>india programme to create jobs in manufacturing, continue support to programmes</w:t>
      </w:r>
      <w:r>
        <w:t xml:space="preserve"> </w:t>
      </w:r>
      <w:r>
        <w:t>with important national priorities such as agriculture, education, health, MGNREGA,</w:t>
      </w:r>
      <w:r>
        <w:t xml:space="preserve"> </w:t>
      </w:r>
      <w:r>
        <w:t>rural infrastructure including roads.</w:t>
      </w:r>
    </w:p>
    <w:p w:rsidR="00945687" w:rsidRDefault="00945687" w:rsidP="00945687">
      <w:pPr>
        <w:pStyle w:val="ListParagraph"/>
        <w:numPr>
          <w:ilvl w:val="0"/>
          <w:numId w:val="2"/>
        </w:numPr>
      </w:pPr>
      <w:r>
        <w:t>Challenge of maintaining fiscal deficit of 4.1% of GDP met in 2014-15, despite lower</w:t>
      </w:r>
      <w:r>
        <w:t xml:space="preserve"> </w:t>
      </w:r>
      <w:r>
        <w:t>nominal GDP growth due to lower inflation and consequent sub-dued tax buoyancy.</w:t>
      </w:r>
    </w:p>
    <w:p w:rsidR="00945687" w:rsidRPr="007C5465" w:rsidRDefault="00945687" w:rsidP="00945687">
      <w:pPr>
        <w:rPr>
          <w:b/>
          <w:bCs/>
        </w:rPr>
      </w:pPr>
      <w:r w:rsidRPr="007C5465">
        <w:rPr>
          <w:b/>
          <w:bCs/>
        </w:rPr>
        <w:t>Fiscal Roadmap</w:t>
      </w:r>
    </w:p>
    <w:p w:rsidR="00945687" w:rsidRDefault="00945687" w:rsidP="00007F53">
      <w:pPr>
        <w:pStyle w:val="ListParagraph"/>
        <w:numPr>
          <w:ilvl w:val="0"/>
          <w:numId w:val="4"/>
        </w:numPr>
      </w:pPr>
      <w:r w:rsidRPr="00945687">
        <w:t>Government firm on journey to achieve fiscal target of 3% of GDP.</w:t>
      </w:r>
    </w:p>
    <w:p w:rsidR="0003707C" w:rsidRPr="0003707C" w:rsidRDefault="0003707C" w:rsidP="0003707C">
      <w:pPr>
        <w:rPr>
          <w:b/>
          <w:bCs/>
        </w:rPr>
      </w:pPr>
      <w:r w:rsidRPr="0003707C">
        <w:rPr>
          <w:b/>
          <w:bCs/>
        </w:rPr>
        <w:t>TAXATION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Abolition of Wealth Tax.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Additional 2% surcharge for the super rich with income of over Rs. 1 crore.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Rate of corporate tax to be reduced to 25% over next four years.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No change in tax slabs.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Total exemption of up to Rs. 4,44,200 can be achieved.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100% exemption for contribution to Swachch Bharat, apart from CSR.</w:t>
      </w:r>
    </w:p>
    <w:p w:rsidR="0003707C" w:rsidRDefault="0003707C" w:rsidP="0003707C">
      <w:pPr>
        <w:pStyle w:val="ListParagraph"/>
        <w:numPr>
          <w:ilvl w:val="0"/>
          <w:numId w:val="4"/>
        </w:numPr>
      </w:pPr>
      <w:r>
        <w:t>Service tax increased to14 per cent.</w:t>
      </w:r>
    </w:p>
    <w:p w:rsidR="00945687" w:rsidRPr="007C5465" w:rsidRDefault="00996D92" w:rsidP="00945687">
      <w:pPr>
        <w:rPr>
          <w:b/>
          <w:bCs/>
        </w:rPr>
      </w:pPr>
      <w:r w:rsidRPr="007C5465">
        <w:rPr>
          <w:b/>
          <w:bCs/>
        </w:rPr>
        <w:t>Agriculture</w:t>
      </w:r>
    </w:p>
    <w:p w:rsidR="00007F53" w:rsidRDefault="00007F53" w:rsidP="00007F53">
      <w:pPr>
        <w:pStyle w:val="ListParagraph"/>
        <w:numPr>
          <w:ilvl w:val="0"/>
          <w:numId w:val="3"/>
        </w:numPr>
      </w:pPr>
      <w:r>
        <w:t>‘Paramparagat Krishi Vikas Yojana’ to be fully supported.</w:t>
      </w:r>
    </w:p>
    <w:p w:rsidR="00007F53" w:rsidRDefault="00007F53" w:rsidP="00007F53">
      <w:pPr>
        <w:pStyle w:val="ListParagraph"/>
        <w:numPr>
          <w:ilvl w:val="0"/>
          <w:numId w:val="3"/>
        </w:numPr>
      </w:pPr>
      <w:r>
        <w:t>‘Pradhanmantri Gram Sinchai Yojana’ to provide ‘Per Drop More Crop’.</w:t>
      </w:r>
    </w:p>
    <w:p w:rsidR="00007F53" w:rsidRDefault="00007F53" w:rsidP="00007F53">
      <w:pPr>
        <w:pStyle w:val="ListParagraph"/>
        <w:numPr>
          <w:ilvl w:val="0"/>
          <w:numId w:val="3"/>
        </w:numPr>
      </w:pPr>
      <w:r>
        <w:lastRenderedPageBreak/>
        <w:t>5,300 crore to support micro-irrigation, watershed development and the ‘Pradhan</w:t>
      </w:r>
      <w:r>
        <w:t xml:space="preserve"> </w:t>
      </w:r>
      <w:r>
        <w:t>Mantri Krishi Sinchai Yojana’. States urged to chip in.</w:t>
      </w:r>
    </w:p>
    <w:p w:rsidR="00007F53" w:rsidRDefault="00007F53" w:rsidP="00007F53">
      <w:pPr>
        <w:pStyle w:val="ListParagraph"/>
        <w:numPr>
          <w:ilvl w:val="0"/>
          <w:numId w:val="3"/>
        </w:numPr>
      </w:pPr>
      <w:r>
        <w:t>Rs. 25,000 crore for Rural Infrastructure Development Bank.</w:t>
      </w:r>
    </w:p>
    <w:p w:rsidR="00007F53" w:rsidRDefault="00007F53" w:rsidP="00007F53">
      <w:pPr>
        <w:pStyle w:val="ListParagraph"/>
        <w:numPr>
          <w:ilvl w:val="0"/>
          <w:numId w:val="3"/>
        </w:numPr>
      </w:pPr>
      <w:r>
        <w:t>Farmers credit - target of 8.5 lakh crore.</w:t>
      </w:r>
    </w:p>
    <w:p w:rsidR="007B7426" w:rsidRPr="007C5465" w:rsidRDefault="007B7426" w:rsidP="007B7426">
      <w:pPr>
        <w:rPr>
          <w:b/>
          <w:bCs/>
        </w:rPr>
      </w:pPr>
      <w:r w:rsidRPr="007C5465">
        <w:rPr>
          <w:b/>
          <w:bCs/>
        </w:rPr>
        <w:t>Infrastructure</w:t>
      </w:r>
    </w:p>
    <w:p w:rsidR="007B7426" w:rsidRDefault="007B7426" w:rsidP="007B7426">
      <w:pPr>
        <w:pStyle w:val="ListParagraph"/>
        <w:numPr>
          <w:ilvl w:val="0"/>
          <w:numId w:val="6"/>
        </w:numPr>
      </w:pPr>
      <w:r>
        <w:t>Rs. 70,000 crores to Infrastructure sector.</w:t>
      </w:r>
    </w:p>
    <w:p w:rsidR="007B7426" w:rsidRDefault="007B7426" w:rsidP="007B7426">
      <w:pPr>
        <w:pStyle w:val="ListParagraph"/>
        <w:numPr>
          <w:ilvl w:val="0"/>
          <w:numId w:val="5"/>
        </w:numPr>
      </w:pPr>
      <w:r>
        <w:t>National Investment and Infrastructure Fund (NIIF</w:t>
      </w:r>
      <w:r>
        <w:t>) – 20,000 crore</w:t>
      </w:r>
    </w:p>
    <w:p w:rsidR="007B7426" w:rsidRDefault="007B7426" w:rsidP="007B7426">
      <w:pPr>
        <w:pStyle w:val="ListParagraph"/>
        <w:numPr>
          <w:ilvl w:val="0"/>
          <w:numId w:val="5"/>
        </w:numPr>
      </w:pPr>
      <w:r>
        <w:t>Tax free infrastructure bonds for the projects in the rail, road and irrigation sectors.</w:t>
      </w:r>
    </w:p>
    <w:p w:rsidR="007B7426" w:rsidRDefault="007B7426" w:rsidP="007B7426">
      <w:pPr>
        <w:pStyle w:val="ListParagraph"/>
        <w:numPr>
          <w:ilvl w:val="0"/>
          <w:numId w:val="5"/>
        </w:numPr>
      </w:pPr>
      <w:r>
        <w:t>PPP mode of infrastructure development to be revisited and revitalised.</w:t>
      </w:r>
    </w:p>
    <w:p w:rsidR="007B7426" w:rsidRDefault="007B7426" w:rsidP="007B7426">
      <w:pPr>
        <w:pStyle w:val="ListParagraph"/>
        <w:numPr>
          <w:ilvl w:val="0"/>
          <w:numId w:val="5"/>
        </w:numPr>
      </w:pPr>
      <w:r>
        <w:t>Atal Innovation Mission (AIM) to be established in NITI to provide Innovation</w:t>
      </w:r>
      <w:r>
        <w:t xml:space="preserve"> </w:t>
      </w:r>
      <w:r>
        <w:t>Promotion Platform involving academicians, and drawing upon national and international</w:t>
      </w:r>
      <w:r>
        <w:t xml:space="preserve"> </w:t>
      </w:r>
      <w:r>
        <w:t>experiences</w:t>
      </w:r>
      <w:r>
        <w:t xml:space="preserve"> – </w:t>
      </w:r>
      <w:r>
        <w:t>150 crore</w:t>
      </w:r>
    </w:p>
    <w:p w:rsidR="007B7426" w:rsidRDefault="007B7426" w:rsidP="007B7426">
      <w:pPr>
        <w:pStyle w:val="ListParagraph"/>
        <w:numPr>
          <w:ilvl w:val="0"/>
          <w:numId w:val="5"/>
        </w:numPr>
      </w:pPr>
      <w:r>
        <w:t xml:space="preserve">Establishment of </w:t>
      </w:r>
      <w:r w:rsidRPr="007B7426">
        <w:t>(SETU) Self-Employment and Talent Utilization)</w:t>
      </w:r>
      <w:r>
        <w:t xml:space="preserve"> t</w:t>
      </w:r>
      <w:r>
        <w:t xml:space="preserve">o support start-up </w:t>
      </w:r>
      <w:r>
        <w:t xml:space="preserve">business – </w:t>
      </w:r>
      <w:r>
        <w:t>1000</w:t>
      </w:r>
      <w:r>
        <w:t xml:space="preserve"> </w:t>
      </w:r>
      <w:r>
        <w:t>crore</w:t>
      </w:r>
    </w:p>
    <w:p w:rsidR="007B7426" w:rsidRDefault="007B7426" w:rsidP="007B7426">
      <w:pPr>
        <w:pStyle w:val="ListParagraph"/>
        <w:numPr>
          <w:ilvl w:val="0"/>
          <w:numId w:val="5"/>
        </w:numPr>
      </w:pPr>
      <w:r w:rsidRPr="007B7426">
        <w:t>Govt. proposes to set up 5 ultra mega power projects, each of 4000MW</w:t>
      </w:r>
    </w:p>
    <w:p w:rsidR="007B7426" w:rsidRPr="007C5465" w:rsidRDefault="007B7426" w:rsidP="007B7426">
      <w:pPr>
        <w:rPr>
          <w:b/>
          <w:bCs/>
        </w:rPr>
      </w:pPr>
      <w:r w:rsidRPr="007C5465">
        <w:rPr>
          <w:b/>
          <w:bCs/>
        </w:rPr>
        <w:t>Financial Market</w:t>
      </w:r>
    </w:p>
    <w:p w:rsidR="007B7426" w:rsidRDefault="007B7426" w:rsidP="007B7426">
      <w:pPr>
        <w:pStyle w:val="ListParagraph"/>
        <w:numPr>
          <w:ilvl w:val="0"/>
          <w:numId w:val="7"/>
        </w:numPr>
      </w:pPr>
      <w:r>
        <w:t>Public Debt Management Agency (PDMA) bringing both external and domestic</w:t>
      </w:r>
      <w:r>
        <w:t xml:space="preserve"> </w:t>
      </w:r>
      <w:r>
        <w:t>borrowings under one roof to be set up</w:t>
      </w:r>
    </w:p>
    <w:p w:rsidR="007B7426" w:rsidRDefault="007B7426" w:rsidP="007B7426">
      <w:pPr>
        <w:pStyle w:val="ListParagraph"/>
        <w:numPr>
          <w:ilvl w:val="0"/>
          <w:numId w:val="7"/>
        </w:numPr>
      </w:pPr>
      <w:r>
        <w:t>Enabling legislation, amending the Government Securities Act and the RBI Act includedin the Finance Bill, 2015.</w:t>
      </w:r>
    </w:p>
    <w:p w:rsidR="007B7426" w:rsidRDefault="007B7426" w:rsidP="007B7426">
      <w:pPr>
        <w:pStyle w:val="ListParagraph"/>
        <w:numPr>
          <w:ilvl w:val="0"/>
          <w:numId w:val="7"/>
        </w:numPr>
      </w:pPr>
      <w:r>
        <w:t>Forward Markets commission to be merged with SEBI</w:t>
      </w:r>
    </w:p>
    <w:p w:rsidR="007B7426" w:rsidRPr="007C5465" w:rsidRDefault="007B7426" w:rsidP="007B7426">
      <w:pPr>
        <w:rPr>
          <w:b/>
          <w:bCs/>
        </w:rPr>
      </w:pPr>
      <w:r w:rsidRPr="007C5465">
        <w:rPr>
          <w:b/>
          <w:bCs/>
        </w:rPr>
        <w:t>Safe India</w:t>
      </w:r>
      <w:r w:rsidRPr="007C5465">
        <w:rPr>
          <w:b/>
          <w:bCs/>
        </w:rPr>
        <w:t>`</w:t>
      </w:r>
    </w:p>
    <w:p w:rsidR="007B7426" w:rsidRDefault="007B7426" w:rsidP="007B7426">
      <w:pPr>
        <w:pStyle w:val="ListParagraph"/>
        <w:numPr>
          <w:ilvl w:val="0"/>
          <w:numId w:val="8"/>
        </w:numPr>
      </w:pPr>
      <w:r>
        <w:t>1000 crores to the Nirbhaya Fund</w:t>
      </w:r>
    </w:p>
    <w:p w:rsidR="007B7426" w:rsidRPr="007C5465" w:rsidRDefault="007B7426" w:rsidP="007B7426">
      <w:pPr>
        <w:rPr>
          <w:b/>
          <w:bCs/>
        </w:rPr>
      </w:pPr>
      <w:r w:rsidRPr="007C5465">
        <w:rPr>
          <w:b/>
          <w:bCs/>
        </w:rPr>
        <w:t>Tourism</w:t>
      </w:r>
    </w:p>
    <w:p w:rsidR="0003707C" w:rsidRDefault="0003707C" w:rsidP="007B7426">
      <w:pPr>
        <w:pStyle w:val="ListParagraph"/>
        <w:numPr>
          <w:ilvl w:val="0"/>
          <w:numId w:val="8"/>
        </w:numPr>
      </w:pPr>
      <w:r>
        <w:t>Develpoment schemes for churches and convents in old Goa; Hampi, Elephanta caves, Forests of Rajasthan, Leh palace, Varanasi , Jallianwala Bagh, Qutb Shahi tombs at Hyderabad to be under the new toursim scheme.</w:t>
      </w:r>
    </w:p>
    <w:p w:rsidR="007B7426" w:rsidRDefault="007B7426" w:rsidP="007B7426">
      <w:pPr>
        <w:pStyle w:val="ListParagraph"/>
        <w:numPr>
          <w:ilvl w:val="0"/>
          <w:numId w:val="8"/>
        </w:numPr>
      </w:pPr>
      <w:r w:rsidRPr="007B7426">
        <w:t>Visas on arrival to be increased to 150 countries in stages.</w:t>
      </w:r>
    </w:p>
    <w:p w:rsidR="007B7426" w:rsidRPr="007C5465" w:rsidRDefault="007B7426" w:rsidP="007B7426">
      <w:pPr>
        <w:rPr>
          <w:b/>
          <w:bCs/>
        </w:rPr>
      </w:pPr>
      <w:r w:rsidRPr="007C5465">
        <w:rPr>
          <w:b/>
          <w:bCs/>
        </w:rPr>
        <w:t>Green India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Target of renewable energy capacity revised to 175000 MW till 2022, comprising</w:t>
      </w:r>
      <w:r>
        <w:t xml:space="preserve"> </w:t>
      </w:r>
      <w:r>
        <w:t>100000 MW Solar, 60000 MW Wind, 10000 MW Biomass and 5000 MW Small</w:t>
      </w:r>
      <w:r>
        <w:t xml:space="preserve"> </w:t>
      </w:r>
      <w:r>
        <w:t>Hydro.</w:t>
      </w:r>
    </w:p>
    <w:p w:rsidR="007C5465" w:rsidRPr="007C5465" w:rsidRDefault="007C5465" w:rsidP="007C5465">
      <w:pPr>
        <w:rPr>
          <w:b/>
          <w:bCs/>
        </w:rPr>
      </w:pPr>
      <w:r w:rsidRPr="007C5465">
        <w:rPr>
          <w:b/>
          <w:bCs/>
        </w:rPr>
        <w:t>EDUCATION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AIIMS in Jammu and Kashmir, Punjab, Tamil Nadu, Himachal Pradesh, Bihar and Assam.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IIT in Karnataka; Indian School of Mines in Dhanbad to be upgraded to IIT.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PG institute of Horticulture in Amritsar.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Kerala to have University of Disability Studies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Centre of film production, animation and gaming to come up in Arunachal Pradesh.</w:t>
      </w:r>
    </w:p>
    <w:p w:rsidR="007C5465" w:rsidRDefault="007C5465" w:rsidP="007C5465">
      <w:pPr>
        <w:pStyle w:val="ListParagraph"/>
        <w:numPr>
          <w:ilvl w:val="0"/>
          <w:numId w:val="8"/>
        </w:numPr>
      </w:pPr>
      <w:r>
        <w:t>IIM for Jammu and Kashmir and Andhra Pradesh.</w:t>
      </w:r>
    </w:p>
    <w:p w:rsidR="0003707C" w:rsidRPr="0003707C" w:rsidRDefault="0003707C" w:rsidP="0003707C">
      <w:pPr>
        <w:rPr>
          <w:b/>
          <w:bCs/>
        </w:rPr>
      </w:pPr>
      <w:r w:rsidRPr="0003707C">
        <w:rPr>
          <w:b/>
          <w:bCs/>
        </w:rPr>
        <w:t>DEFENCE</w:t>
      </w:r>
    </w:p>
    <w:p w:rsidR="0003707C" w:rsidRDefault="0003707C" w:rsidP="0003707C">
      <w:pPr>
        <w:pStyle w:val="ListParagraph"/>
        <w:numPr>
          <w:ilvl w:val="0"/>
          <w:numId w:val="15"/>
        </w:numPr>
      </w:pPr>
      <w:r>
        <w:t>Allocation of Rs. 2,46,726 crore; an increase of 9.87 per cent over last year.</w:t>
      </w:r>
    </w:p>
    <w:p w:rsidR="0003707C" w:rsidRDefault="0003707C" w:rsidP="0003707C">
      <w:pPr>
        <w:pStyle w:val="ListParagraph"/>
        <w:numPr>
          <w:ilvl w:val="0"/>
          <w:numId w:val="15"/>
        </w:numPr>
      </w:pPr>
      <w:r>
        <w:t>Focus on Make in India for quick manufacturing of Defence equipment.</w:t>
      </w:r>
    </w:p>
    <w:p w:rsidR="0003707C" w:rsidRPr="0003707C" w:rsidRDefault="0003707C" w:rsidP="0003707C">
      <w:pPr>
        <w:rPr>
          <w:b/>
          <w:bCs/>
        </w:rPr>
      </w:pPr>
      <w:r w:rsidRPr="0003707C">
        <w:rPr>
          <w:b/>
          <w:bCs/>
        </w:rPr>
        <w:t>GOLD</w:t>
      </w:r>
    </w:p>
    <w:p w:rsidR="0003707C" w:rsidRDefault="0003707C" w:rsidP="0003707C">
      <w:pPr>
        <w:pStyle w:val="ListParagraph"/>
        <w:numPr>
          <w:ilvl w:val="0"/>
          <w:numId w:val="18"/>
        </w:numPr>
      </w:pPr>
      <w:r>
        <w:t>Sovereign Gold Bond, as an alternative to purchasing metal gold.</w:t>
      </w:r>
    </w:p>
    <w:p w:rsidR="0003707C" w:rsidRDefault="0003707C" w:rsidP="0003707C">
      <w:pPr>
        <w:pStyle w:val="ListParagraph"/>
        <w:numPr>
          <w:ilvl w:val="0"/>
          <w:numId w:val="18"/>
        </w:numPr>
      </w:pPr>
      <w:r>
        <w:t>New scheme for depositors of gold to earn interest and jewellers to obtain loans on their metal accounts.</w:t>
      </w:r>
    </w:p>
    <w:p w:rsidR="0003707C" w:rsidRDefault="0003707C" w:rsidP="0003707C">
      <w:pPr>
        <w:pStyle w:val="ListParagraph"/>
        <w:numPr>
          <w:ilvl w:val="0"/>
          <w:numId w:val="18"/>
        </w:numPr>
      </w:pPr>
      <w:r>
        <w:t>To develop an Indian gold voin, which will carry the Ashok Chakra on its face, to reduce the demand for foreign coins and recycle the gold available in the country.</w:t>
      </w:r>
    </w:p>
    <w:p w:rsidR="007C5465" w:rsidRPr="007C5465" w:rsidRDefault="007C5465" w:rsidP="007C5465">
      <w:pPr>
        <w:rPr>
          <w:b/>
          <w:bCs/>
        </w:rPr>
      </w:pPr>
      <w:r w:rsidRPr="007C5465">
        <w:rPr>
          <w:b/>
          <w:bCs/>
        </w:rPr>
        <w:t>Benefits to middle class tax-payers:</w:t>
      </w:r>
    </w:p>
    <w:p w:rsidR="007C5465" w:rsidRDefault="007C5465" w:rsidP="007C5465">
      <w:pPr>
        <w:pStyle w:val="ListParagraph"/>
        <w:numPr>
          <w:ilvl w:val="0"/>
          <w:numId w:val="12"/>
        </w:numPr>
      </w:pPr>
      <w:r>
        <w:t>Limit of deduction of health insurance premium increased from</w:t>
      </w:r>
      <w:r>
        <w:t xml:space="preserve"> </w:t>
      </w:r>
      <w:r>
        <w:t>15000 to</w:t>
      </w:r>
      <w:r>
        <w:t xml:space="preserve"> </w:t>
      </w:r>
      <w:r>
        <w:t>25000,</w:t>
      </w:r>
      <w:r>
        <w:t xml:space="preserve"> </w:t>
      </w:r>
      <w:r>
        <w:t>for senior citizens limit increased from</w:t>
      </w:r>
      <w:r>
        <w:t xml:space="preserve"> </w:t>
      </w:r>
      <w:r>
        <w:t>20000 to</w:t>
      </w:r>
      <w:r>
        <w:t xml:space="preserve"> </w:t>
      </w:r>
      <w:r>
        <w:t>30000.</w:t>
      </w:r>
    </w:p>
    <w:p w:rsidR="007C5465" w:rsidRDefault="007C5465" w:rsidP="007C5465">
      <w:pPr>
        <w:pStyle w:val="ListParagraph"/>
        <w:numPr>
          <w:ilvl w:val="0"/>
          <w:numId w:val="12"/>
        </w:numPr>
      </w:pPr>
      <w:r>
        <w:t>Senior citizens above the age of 80 years, who are not covered by health insurance, to</w:t>
      </w:r>
      <w:r>
        <w:t xml:space="preserve"> </w:t>
      </w:r>
      <w:r>
        <w:t>be allowed deduction of</w:t>
      </w:r>
      <w:r>
        <w:t xml:space="preserve"> </w:t>
      </w:r>
      <w:r>
        <w:t>30000 towards medical expenditures.</w:t>
      </w:r>
    </w:p>
    <w:p w:rsidR="007C5465" w:rsidRPr="007C5465" w:rsidRDefault="007C5465" w:rsidP="007C5465">
      <w:pPr>
        <w:rPr>
          <w:b/>
          <w:bCs/>
        </w:rPr>
      </w:pPr>
      <w:r w:rsidRPr="007C5465">
        <w:rPr>
          <w:b/>
          <w:bCs/>
        </w:rPr>
        <w:t>BUDGET ESTIMATES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Non-Plan expenditure estimates for the Financial Year are estimated at</w:t>
      </w:r>
      <w:r>
        <w:t xml:space="preserve"> </w:t>
      </w:r>
      <w:r>
        <w:t>13,12,200 crore.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Plan expenditure is estimated to be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4,65,277 crore, which is very near to the R.E. of</w:t>
      </w:r>
      <w:r>
        <w:t xml:space="preserve"> </w:t>
      </w:r>
      <w:r>
        <w:t>2014-15.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Total Expenditure has accordingly been estimated at</w:t>
      </w:r>
      <w:r>
        <w:t xml:space="preserve"> </w:t>
      </w:r>
      <w:r>
        <w:t>17,77,477 crore.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The requirements for expenditure on Defence, Internal Security and other necessary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expenditures are adequately provided.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Gross Tax receipts are estimated to be</w:t>
      </w:r>
      <w:r>
        <w:t xml:space="preserve"> </w:t>
      </w:r>
      <w:r>
        <w:t>14,49,490 crore.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Devolution to the States is estimated to be</w:t>
      </w:r>
      <w:r>
        <w:t xml:space="preserve"> </w:t>
      </w:r>
      <w:r>
        <w:t>5,23,958.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Share of Central Government will be</w:t>
      </w:r>
      <w:r>
        <w:t xml:space="preserve"> </w:t>
      </w:r>
      <w:r>
        <w:t>9,19,842</w:t>
      </w:r>
    </w:p>
    <w:p w:rsidR="007C5465" w:rsidRDefault="007C5465" w:rsidP="007C5465">
      <w:pPr>
        <w:pStyle w:val="ListParagraph"/>
        <w:numPr>
          <w:ilvl w:val="0"/>
          <w:numId w:val="11"/>
        </w:numPr>
      </w:pPr>
      <w:r>
        <w:t>Non Tax Revenues for the next fiscal are estimated to be</w:t>
      </w:r>
      <w:r>
        <w:t xml:space="preserve"> </w:t>
      </w:r>
      <w:r>
        <w:t>2,21,733 crore.</w:t>
      </w:r>
    </w:p>
    <w:p w:rsidR="008C6D2F" w:rsidRDefault="007C5465" w:rsidP="008C6D2F">
      <w:pPr>
        <w:pStyle w:val="ListParagraph"/>
        <w:numPr>
          <w:ilvl w:val="0"/>
          <w:numId w:val="11"/>
        </w:numPr>
      </w:pPr>
      <w:r>
        <w:t>Fiscal deficit will be 3.9 per cent of GDP and Revenue Deficit will be 2.8 per cent of</w:t>
      </w:r>
      <w:r>
        <w:t xml:space="preserve"> </w:t>
      </w:r>
      <w:r>
        <w:t>GDP.</w:t>
      </w:r>
    </w:p>
    <w:sectPr w:rsidR="008C6D2F" w:rsidSect="008C6D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51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1F" w:rsidRDefault="0062311F" w:rsidP="0003707C">
      <w:pPr>
        <w:spacing w:after="0" w:line="240" w:lineRule="auto"/>
      </w:pPr>
      <w:r>
        <w:separator/>
      </w:r>
    </w:p>
  </w:endnote>
  <w:endnote w:type="continuationSeparator" w:id="0">
    <w:p w:rsidR="0062311F" w:rsidRDefault="0062311F" w:rsidP="0003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F" w:rsidRDefault="008C6D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Email us: civilmentor.in@gmail.com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2311F" w:rsidRPr="006231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3707C" w:rsidRDefault="00037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1F" w:rsidRDefault="0062311F" w:rsidP="0003707C">
      <w:pPr>
        <w:spacing w:after="0" w:line="240" w:lineRule="auto"/>
      </w:pPr>
      <w:r>
        <w:separator/>
      </w:r>
    </w:p>
  </w:footnote>
  <w:footnote w:type="continuationSeparator" w:id="0">
    <w:p w:rsidR="0062311F" w:rsidRDefault="0062311F" w:rsidP="0003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7C" w:rsidRDefault="000370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036239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www.civilmentor.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27E5C0068247B1AEC556A56A84E7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6D2F" w:rsidRDefault="008C6D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Visit us: www.civilmentor.in</w:t>
        </w:r>
      </w:p>
    </w:sdtContent>
  </w:sdt>
  <w:p w:rsidR="0003707C" w:rsidRDefault="000370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036240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www.civilmentor.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7C" w:rsidRDefault="000370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036238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www.civilmentor.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4F"/>
    <w:multiLevelType w:val="hybridMultilevel"/>
    <w:tmpl w:val="1BF00D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9BD"/>
    <w:multiLevelType w:val="hybridMultilevel"/>
    <w:tmpl w:val="22D0F89A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30D0"/>
    <w:multiLevelType w:val="hybridMultilevel"/>
    <w:tmpl w:val="A09273C6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0B74"/>
    <w:multiLevelType w:val="hybridMultilevel"/>
    <w:tmpl w:val="11C88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2050"/>
    <w:multiLevelType w:val="hybridMultilevel"/>
    <w:tmpl w:val="B6B48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A340D"/>
    <w:multiLevelType w:val="hybridMultilevel"/>
    <w:tmpl w:val="0BB0B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63BF"/>
    <w:multiLevelType w:val="hybridMultilevel"/>
    <w:tmpl w:val="C2C0C45C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5B04"/>
    <w:multiLevelType w:val="hybridMultilevel"/>
    <w:tmpl w:val="FD067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63C32"/>
    <w:multiLevelType w:val="hybridMultilevel"/>
    <w:tmpl w:val="507E4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A55A2"/>
    <w:multiLevelType w:val="hybridMultilevel"/>
    <w:tmpl w:val="AD30AE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F4106"/>
    <w:multiLevelType w:val="hybridMultilevel"/>
    <w:tmpl w:val="6784A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16CBF"/>
    <w:multiLevelType w:val="hybridMultilevel"/>
    <w:tmpl w:val="472AA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E0E25"/>
    <w:multiLevelType w:val="hybridMultilevel"/>
    <w:tmpl w:val="67360F00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7763"/>
    <w:multiLevelType w:val="hybridMultilevel"/>
    <w:tmpl w:val="018CCE42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32BC3"/>
    <w:multiLevelType w:val="hybridMultilevel"/>
    <w:tmpl w:val="377E3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37C89"/>
    <w:multiLevelType w:val="hybridMultilevel"/>
    <w:tmpl w:val="C74C3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E6522"/>
    <w:multiLevelType w:val="hybridMultilevel"/>
    <w:tmpl w:val="885A57F6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4665"/>
    <w:multiLevelType w:val="hybridMultilevel"/>
    <w:tmpl w:val="2CF290D0"/>
    <w:lvl w:ilvl="0" w:tplc="54941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23FE0"/>
    <w:multiLevelType w:val="hybridMultilevel"/>
    <w:tmpl w:val="8326BB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A0E0E"/>
    <w:multiLevelType w:val="hybridMultilevel"/>
    <w:tmpl w:val="9FD4E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8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  <w:num w:numId="17">
    <w:abstractNumId w:val="17"/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87"/>
    <w:rsid w:val="00007F53"/>
    <w:rsid w:val="0003707C"/>
    <w:rsid w:val="00123EDC"/>
    <w:rsid w:val="004F6CA8"/>
    <w:rsid w:val="005029CF"/>
    <w:rsid w:val="006053A7"/>
    <w:rsid w:val="0062311F"/>
    <w:rsid w:val="007B7426"/>
    <w:rsid w:val="007C5465"/>
    <w:rsid w:val="008C6D2F"/>
    <w:rsid w:val="00945687"/>
    <w:rsid w:val="00996D92"/>
    <w:rsid w:val="00A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7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3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unhideWhenUsed/>
    <w:rsid w:val="0003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7C"/>
  </w:style>
  <w:style w:type="paragraph" w:styleId="Footer">
    <w:name w:val="footer"/>
    <w:basedOn w:val="Normal"/>
    <w:link w:val="FooterChar"/>
    <w:uiPriority w:val="99"/>
    <w:unhideWhenUsed/>
    <w:rsid w:val="0003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7C"/>
  </w:style>
  <w:style w:type="paragraph" w:styleId="BalloonText">
    <w:name w:val="Balloon Text"/>
    <w:basedOn w:val="Normal"/>
    <w:link w:val="BalloonTextChar"/>
    <w:uiPriority w:val="99"/>
    <w:semiHidden/>
    <w:unhideWhenUsed/>
    <w:rsid w:val="008C6D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2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7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3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unhideWhenUsed/>
    <w:rsid w:val="0003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7C"/>
  </w:style>
  <w:style w:type="paragraph" w:styleId="Footer">
    <w:name w:val="footer"/>
    <w:basedOn w:val="Normal"/>
    <w:link w:val="FooterChar"/>
    <w:uiPriority w:val="99"/>
    <w:unhideWhenUsed/>
    <w:rsid w:val="0003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7C"/>
  </w:style>
  <w:style w:type="paragraph" w:styleId="BalloonText">
    <w:name w:val="Balloon Text"/>
    <w:basedOn w:val="Normal"/>
    <w:link w:val="BalloonTextChar"/>
    <w:uiPriority w:val="99"/>
    <w:semiHidden/>
    <w:unhideWhenUsed/>
    <w:rsid w:val="008C6D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27E5C0068247B1AEC556A56A84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DA81-911B-4292-9D89-AAB27C2EE83A}"/>
      </w:docPartPr>
      <w:docPartBody>
        <w:p w:rsidR="00000000" w:rsidRDefault="00CA1F8B" w:rsidP="00CA1F8B">
          <w:pPr>
            <w:pStyle w:val="AD27E5C0068247B1AEC556A56A84E7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8B"/>
    <w:rsid w:val="0005566F"/>
    <w:rsid w:val="00C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A912DD741497AA4116776B37A6146">
    <w:name w:val="AC4A912DD741497AA4116776B37A6146"/>
    <w:rsid w:val="00CA1F8B"/>
  </w:style>
  <w:style w:type="paragraph" w:customStyle="1" w:styleId="AD27E5C0068247B1AEC556A56A84E7F7">
    <w:name w:val="AD27E5C0068247B1AEC556A56A84E7F7"/>
    <w:rsid w:val="00CA1F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A912DD741497AA4116776B37A6146">
    <w:name w:val="AC4A912DD741497AA4116776B37A6146"/>
    <w:rsid w:val="00CA1F8B"/>
  </w:style>
  <w:style w:type="paragraph" w:customStyle="1" w:styleId="AD27E5C0068247B1AEC556A56A84E7F7">
    <w:name w:val="AD27E5C0068247B1AEC556A56A84E7F7"/>
    <w:rsid w:val="00CA1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us: www.civilmentor.in</vt:lpstr>
    </vt:vector>
  </TitlesOfParts>
  <Company>Hewlett-Packard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us: www.civilmentor.in</dc:title>
  <dc:creator>user</dc:creator>
  <cp:lastModifiedBy>user</cp:lastModifiedBy>
  <cp:revision>2</cp:revision>
  <dcterms:created xsi:type="dcterms:W3CDTF">2015-03-01T08:42:00Z</dcterms:created>
  <dcterms:modified xsi:type="dcterms:W3CDTF">2015-03-01T08:42:00Z</dcterms:modified>
</cp:coreProperties>
</file>